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2</w:t>
      </w:r>
      <w:r>
        <w:rPr>
          <w:b/>
          <w:sz w:val="24"/>
        </w:rPr>
        <w:tab/>
      </w:r>
      <w:r>
        <w:rPr>
          <w:rFonts w:hint="eastAsia"/>
          <w:b/>
          <w:sz w:val="24"/>
          <w:highlight w:val="none"/>
          <w:lang w:val="en-US"/>
        </w:rPr>
        <w:t>RP-233415</w:t>
      </w:r>
    </w:p>
    <w:p>
      <w:pPr>
        <w:pStyle w:val="104"/>
        <w:tabs>
          <w:tab w:val="right" w:pos="9639"/>
        </w:tabs>
        <w:spacing w:after="0"/>
        <w:rPr>
          <w:b/>
          <w:sz w:val="24"/>
        </w:rPr>
      </w:pPr>
      <w:r>
        <w:rPr>
          <w:rFonts w:hint="eastAsia"/>
          <w:b/>
          <w:sz w:val="24"/>
          <w:lang w:val="en-US"/>
        </w:rPr>
        <w:t>Edinburgh, Great Britain, Dec 11 - 15, 202</w:t>
      </w:r>
      <w:r>
        <w:rPr>
          <w:b/>
          <w:sz w:val="24"/>
          <w:lang w:val="en-US"/>
        </w:rPr>
        <w:t>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highlight w:val="none"/>
        </w:rPr>
        <w:t>13.4.1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NB-IoT (Narrowband IoT)/eMTC (enhanced Machine Type Communication) core &amp; performance requirements for Non-Terrestrial Networks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LTE_NBIOT_eMTC_NTN_req-UEConTest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981034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fldChar w:fldCharType="begin"/>
            </w:r>
            <w:r>
              <w:instrText xml:space="preserve"> HYPERLINK "http://www.3gpp.org/ftp/tsg_ran/TSG_RAN/TSGR_96/Docs/RP-223064.zip" </w:instrText>
            </w:r>
            <w:r>
              <w:fldChar w:fldCharType="separate"/>
            </w:r>
            <w:r>
              <w:rPr>
                <w:rStyle w:val="57"/>
                <w:rFonts w:ascii="Arial" w:hAnsi="Arial" w:cs="Arial"/>
                <w:lang w:val="en-US" w:eastAsia="ja-JP"/>
              </w:rPr>
              <w:t>RP-223064</w:t>
            </w:r>
            <w:r>
              <w:rPr>
                <w:rStyle w:val="57"/>
                <w:rFonts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Mar</w:t>
            </w:r>
            <w:r>
              <w:rPr>
                <w:rFonts w:hint="eastAsia"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eastAsia="zh-CN"/>
              </w:rPr>
              <w:t>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75</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ascii="Arial" w:hAnsi="Arial" w:cs="Arial"/>
                <w:lang w:val="en-US"/>
              </w:rPr>
              <w:t>,</w:t>
            </w:r>
            <w:r>
              <w:rPr>
                <w:rFonts w:hint="eastAsia" w:ascii="Arial" w:hAnsi="Arial" w:cs="Arial"/>
              </w:rPr>
              <w:t xml:space="preserve"> Danbo Fu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 MediaTek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fldChar w:fldCharType="begin"/>
            </w:r>
            <w:r>
              <w:instrText xml:space="preserve"> HYPERLINK "file:///D:\\工作\\项目资料\\2013-2017%20标准化会议\\2017-2019%203GPP标准化\\RAN5\\2018-2023%20RAN5会议\\%2399-2023年5月@Incheon,%20South%20Korea\\CMCC文稿-52篇\\36%25（+9%25）-R18%20LTE_IoT_NTN_req-UEConTest%20-%208篇\\Danbo.Fu@mediatek.com" </w:instrText>
            </w:r>
            <w:r>
              <w:fldChar w:fldCharType="separate"/>
            </w:r>
            <w:r>
              <w:rPr>
                <w:rStyle w:val="57"/>
                <w:rFonts w:ascii="Arial" w:hAnsi="Arial" w:cs="Arial"/>
                <w:lang w:val="en-US"/>
              </w:rPr>
              <w:t>Danbo.Fu@mediatek.com</w:t>
            </w:r>
            <w:r>
              <w:rPr>
                <w:rStyle w:val="57"/>
                <w:rFonts w:ascii="Arial" w:hAnsi="Arial" w:cs="Arial"/>
                <w:lang w:val="en-US"/>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w:t>
      </w:r>
      <w:r>
        <w:rPr>
          <w:rFonts w:hint="eastAsia" w:ascii="Arial" w:hAnsi="Arial" w:eastAsia="宋体" w:cs="Arial"/>
          <w:highlight w:val="none"/>
          <w:lang w:val="en-US" w:eastAsia="zh-CN"/>
        </w:rPr>
        <w:t>101</w:t>
      </w:r>
      <w:r>
        <w:rPr>
          <w:rFonts w:ascii="Arial" w:hAnsi="Arial" w:cs="Arial"/>
          <w:highlight w:val="none"/>
        </w:rPr>
        <w:t xml:space="preserve"> (the details can be found in </w:t>
      </w:r>
      <w:r>
        <w:rPr>
          <w:rFonts w:hint="eastAsia" w:ascii="Arial" w:hAnsi="Arial" w:cs="Arial"/>
          <w:highlight w:val="none"/>
          <w:lang w:eastAsia="ja-JP"/>
        </w:rPr>
        <w:t>R5-23</w:t>
      </w:r>
      <w:r>
        <w:rPr>
          <w:rFonts w:hint="eastAsia" w:ascii="Arial" w:hAnsi="Arial" w:eastAsia="宋体" w:cs="Arial"/>
          <w:highlight w:val="none"/>
          <w:lang w:val="en-US" w:eastAsia="zh-CN"/>
        </w:rPr>
        <w:t>6642</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75</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default"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RF/Demod conformance test cases</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55</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TT analysis</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8</w:t>
      </w:r>
      <w:r>
        <w:rPr>
          <w:rFonts w:hint="eastAsia" w:ascii="Arial" w:hAnsi="Arial" w:cs="Arial" w:eastAsiaTheme="minorEastAsia"/>
          <w:highlight w:val="none"/>
        </w:rPr>
        <w:t xml:space="preserve"> </w:t>
      </w:r>
      <w:r>
        <w:rPr>
          <w:rFonts w:ascii="Arial" w:hAnsi="Arial" w:cs="Arial"/>
          <w:highlight w:val="none"/>
          <w:lang w:val="en-US"/>
        </w:rPr>
        <w:t>Tdoc</w:t>
      </w:r>
      <w:r>
        <w:rPr>
          <w:rFonts w:hint="default" w:ascii="Arial" w:hAnsi="Arial" w:cs="Arial"/>
          <w:highlight w:val="none"/>
          <w:lang w:val="en-US"/>
        </w:rPr>
        <w:t>s</w:t>
      </w:r>
      <w:r>
        <w:rPr>
          <w:rFonts w:ascii="Arial" w:hAnsi="Arial" w:cs="Arial"/>
          <w:highlight w:val="none"/>
          <w:lang w:val="en-US"/>
        </w:rPr>
        <w:t xml:space="preserve"> </w:t>
      </w:r>
      <w:r>
        <w:rPr>
          <w:rFonts w:ascii="Arial" w:hAnsi="Arial" w:cs="Arial"/>
          <w:highlight w:val="none"/>
        </w:rPr>
        <w:t>w</w:t>
      </w:r>
      <w:r>
        <w:rPr>
          <w:rFonts w:hint="default" w:ascii="Arial" w:hAnsi="Arial" w:eastAsia="宋体" w:cs="Arial"/>
          <w:highlight w:val="none"/>
          <w:lang w:val="en-US"/>
        </w:rPr>
        <w:t>ere</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T</w:t>
      </w:r>
      <w:r>
        <w:rPr>
          <w:rFonts w:hint="default" w:ascii="Arial" w:hAnsi="Arial" w:cs="Arial" w:eastAsiaTheme="minorEastAsia"/>
          <w:highlight w:val="none"/>
          <w:lang w:val="en-US"/>
        </w:rPr>
        <w:t>P</w:t>
      </w:r>
      <w:r>
        <w:rPr>
          <w:rFonts w:ascii="Arial" w:hAnsi="Arial" w:cs="Arial" w:eastAsiaTheme="minorEastAsia"/>
          <w:highlight w:val="none"/>
          <w:lang w:val="en-US"/>
        </w:rPr>
        <w:t xml:space="preserve"> analysis</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4</w:t>
      </w:r>
      <w:r>
        <w:rPr>
          <w:rFonts w:hint="eastAsia" w:ascii="Arial" w:hAnsi="Arial" w:cs="Arial" w:eastAsiaTheme="minorEastAsia"/>
          <w:highlight w:val="none"/>
        </w:rPr>
        <w:t xml:space="preserve"> </w:t>
      </w:r>
      <w:r>
        <w:rPr>
          <w:rFonts w:ascii="Arial" w:hAnsi="Arial" w:cs="Arial"/>
          <w:highlight w:val="none"/>
          <w:lang w:val="en-US"/>
        </w:rPr>
        <w:t>Tdoc</w:t>
      </w:r>
      <w:r>
        <w:rPr>
          <w:rFonts w:hint="default" w:ascii="Arial" w:hAnsi="Arial" w:cs="Arial"/>
          <w:highlight w:val="none"/>
          <w:lang w:val="en-US"/>
        </w:rPr>
        <w:t>s</w:t>
      </w:r>
      <w:r>
        <w:rPr>
          <w:rFonts w:ascii="Arial" w:hAnsi="Arial" w:cs="Arial"/>
          <w:highlight w:val="none"/>
          <w:lang w:val="en-US"/>
        </w:rPr>
        <w:t xml:space="preserve"> </w:t>
      </w:r>
      <w:r>
        <w:rPr>
          <w:rFonts w:ascii="Arial" w:hAnsi="Arial" w:cs="Arial"/>
          <w:highlight w:val="none"/>
        </w:rPr>
        <w:t>w</w:t>
      </w:r>
      <w:r>
        <w:rPr>
          <w:rFonts w:hint="default" w:ascii="Arial" w:hAnsi="Arial" w:eastAsia="宋体" w:cs="Arial"/>
          <w:highlight w:val="none"/>
          <w:lang w:val="en-US"/>
        </w:rPr>
        <w:t>ere</w:t>
      </w:r>
      <w:r>
        <w:rPr>
          <w:rFonts w:ascii="Arial" w:hAnsi="Arial" w:cs="Arial"/>
          <w:highlight w:val="none"/>
        </w:rPr>
        <w:t xml:space="preserve"> agreed</w:t>
      </w:r>
      <w:r>
        <w:rPr>
          <w:rFonts w:hint="eastAsia" w:ascii="Arial" w:hAnsi="Arial" w:cs="Arial" w:eastAsiaTheme="minorEastAsia"/>
          <w:highlight w:val="none"/>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w:t>
      </w:r>
      <w:r>
        <w:rPr>
          <w:rFonts w:hint="eastAsia" w:ascii="Arial" w:hAnsi="Arial" w:cs="Arial" w:eastAsiaTheme="minorEastAsia"/>
          <w:highlight w:val="none"/>
          <w:lang w:val="en-US" w:eastAsia="zh-CN"/>
        </w:rPr>
        <w:t>6642</w:t>
      </w:r>
      <w:r>
        <w:rPr>
          <w:rFonts w:ascii="Arial" w:hAnsi="Arial" w:cs="Arial" w:eastAsiaTheme="minorEastAsia"/>
          <w:highlight w:val="none"/>
          <w:lang w:val="en-US"/>
        </w:rPr>
        <w:t xml:space="preserve"> </w:t>
      </w:r>
      <w:r>
        <w:rPr>
          <w:rFonts w:hint="eastAsia" w:ascii="Arial" w:hAnsi="Arial" w:cs="Arial" w:eastAsiaTheme="minorEastAsia"/>
          <w:highlight w:val="none"/>
        </w:rPr>
        <w:t>WP Rel-18 NB-IoT_eMTC NTN after RAN5#</w:t>
      </w:r>
      <w:r>
        <w:rPr>
          <w:rFonts w:hint="eastAsia" w:ascii="Arial" w:hAnsi="Arial" w:cs="Arial" w:eastAsiaTheme="minorEastAsia"/>
          <w:highlight w:val="none"/>
          <w:lang w:val="en-US" w:eastAsia="zh-CN"/>
        </w:rPr>
        <w:t>101</w:t>
      </w:r>
      <w:r>
        <w:rPr>
          <w:rFonts w:hint="eastAsia" w:ascii="Arial" w:hAnsi="Arial" w:cs="Arial" w:eastAsiaTheme="minorEastAsia"/>
          <w:highlight w:val="none"/>
        </w:rPr>
        <w:t>,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R5-236039</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Reply LS on applicability of UE demodulation and CSI requirements for IoT-NTN UE, TSG WG RAN4 (Mediatek)</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R5-237225</w:t>
      </w:r>
      <w:r>
        <w:rPr>
          <w:rFonts w:hint="default" w:ascii="Arial" w:hAnsi="Arial" w:cs="Arial" w:eastAsiaTheme="minorEastAsia"/>
          <w:highlight w:val="none"/>
          <w:lang w:val="en-US"/>
        </w:rPr>
        <w:t xml:space="preserve"> Summary of SIB19/SIB31 parameters for NGSO and GSO NTN UE/NTN IoT testing, THALES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R5-237670</w:t>
      </w:r>
      <w:r>
        <w:rPr>
          <w:rFonts w:hint="default" w:ascii="Arial" w:hAnsi="Arial" w:cs="Arial" w:eastAsiaTheme="minorEastAsia"/>
          <w:highlight w:val="none"/>
          <w:lang w:val="en-US"/>
        </w:rPr>
        <w:t xml:space="preserve"> Discussions on IoT NTN test methodology, MediaTek (Hefei) Inc., Keysight Technologies UK Ltd, THALES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R5-236035</w:t>
      </w:r>
      <w:r>
        <w:rPr>
          <w:rFonts w:hint="default" w:ascii="Arial" w:hAnsi="Arial" w:cs="Arial" w:eastAsiaTheme="minorEastAsia"/>
          <w:highlight w:val="none"/>
          <w:lang w:val="en-US"/>
        </w:rPr>
        <w:t xml:space="preserve"> Discussion on IoT NTN RRM MU TT analysis, MediaTek (Hefei) Inc., Keysight Technologies UK Ltd</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R5-236158</w:t>
      </w:r>
      <w:r>
        <w:rPr>
          <w:rFonts w:hint="default" w:ascii="Arial" w:hAnsi="Arial" w:cs="Arial" w:eastAsiaTheme="minorEastAsia"/>
          <w:highlight w:val="none"/>
          <w:lang w:val="en-US"/>
        </w:rPr>
        <w:t xml:space="preserve"> Discussion on addition of AT command for NTN test, MediaTek Inc.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R5-237674</w:t>
      </w:r>
      <w:r>
        <w:rPr>
          <w:rFonts w:hint="default" w:ascii="Arial" w:hAnsi="Arial" w:cs="Arial" w:eastAsiaTheme="minorEastAsia"/>
          <w:highlight w:val="none"/>
          <w:lang w:val="en-US"/>
        </w:rPr>
        <w:t xml:space="preserve"> Way Forward for R18 IoT NTN WI, CMCC, MediaTek</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R5-236919</w:t>
      </w:r>
      <w:r>
        <w:rPr>
          <w:rFonts w:hint="default" w:ascii="Arial" w:hAnsi="Arial" w:cs="Arial" w:eastAsiaTheme="minorEastAsia"/>
          <w:highlight w:val="none"/>
          <w:lang w:val="en-US"/>
        </w:rPr>
        <w:t xml:space="preserve"> NTN NB-IoT – Discussion on aggregate power control testing issues, Keysight Technologies UK Ltd</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R5-237882</w:t>
      </w:r>
      <w:r>
        <w:rPr>
          <w:rFonts w:hint="default" w:ascii="Arial" w:hAnsi="Arial" w:cs="Arial" w:eastAsiaTheme="minorEastAsia"/>
          <w:highlight w:val="none"/>
          <w:lang w:val="en-US"/>
        </w:rPr>
        <w:t xml:space="preserve"> IoT NTN discussion on SAN type coverage in testing, Keysight Technologies UK Ltd</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R5-237673</w:t>
      </w:r>
      <w:r>
        <w:rPr>
          <w:rFonts w:hint="default" w:ascii="Arial" w:hAnsi="Arial" w:cs="Arial" w:eastAsiaTheme="minorEastAsia"/>
          <w:highlight w:val="none"/>
          <w:lang w:val="en-US"/>
        </w:rPr>
        <w:t xml:space="preserve"> On ephemeris definition, Keysight Technologies UK Ltd, Thales, MediaTek</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R5-237883</w:t>
      </w:r>
      <w:r>
        <w:rPr>
          <w:rFonts w:hint="default" w:ascii="Arial" w:hAnsi="Arial" w:cs="Arial" w:eastAsiaTheme="minorEastAsia"/>
          <w:highlight w:val="none"/>
          <w:lang w:val="en-US"/>
        </w:rPr>
        <w:t xml:space="preserve"> Selection of ephemeris information for NTN RF and demod test cases, Keysight Technologies UK Ltd, MediaTek</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R5-23788</w:t>
      </w:r>
      <w:r>
        <w:rPr>
          <w:rFonts w:hint="default" w:ascii="Arial" w:hAnsi="Arial" w:cs="Arial" w:eastAsiaTheme="minorEastAsia"/>
          <w:highlight w:val="none"/>
          <w:lang w:val="en-US"/>
        </w:rPr>
        <w:t>4 Selection of ephemeris information for  RRM NTN test cases, Keysight Technologies UK Ltd, MediaTek</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R5-237223</w:t>
      </w:r>
      <w:r>
        <w:rPr>
          <w:rFonts w:hint="default" w:ascii="Arial" w:hAnsi="Arial" w:cs="Arial" w:eastAsiaTheme="minorEastAsia"/>
          <w:highlight w:val="none"/>
          <w:lang w:val="en-US"/>
        </w:rPr>
        <w:t xml:space="preserve"> Summary of SIB19/SIB31 parameters for NGSO and GSO NTN UE/NTN IoT testing, THALES</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08</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R5-236203</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Addition of connection diagram for RRM NTN with GNSS simulator, MediaTek Beijing Inc.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R5-236204</w:t>
      </w:r>
      <w:r>
        <w:rPr>
          <w:rFonts w:ascii="Arial" w:hAnsi="Arial" w:cs="Arial" w:eastAsiaTheme="minorEastAsia"/>
          <w:highlight w:val="none"/>
          <w:lang w:val="en-US"/>
        </w:rPr>
        <w:t xml:space="preserve"> </w:t>
      </w:r>
      <w:r>
        <w:rPr>
          <w:rFonts w:hint="eastAsia" w:ascii="Arial" w:hAnsi="Arial" w:cs="Arial" w:eastAsiaTheme="minorEastAsia"/>
          <w:highlight w:val="none"/>
        </w:rPr>
        <w:t>Addition GNSS requirements for NTN testing, MediaTek Beijing Inc.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R5-237936</w:t>
      </w:r>
      <w:r>
        <w:rPr>
          <w:rFonts w:ascii="Arial" w:hAnsi="Arial" w:cs="Arial" w:eastAsiaTheme="minorEastAsia"/>
          <w:highlight w:val="none"/>
          <w:lang w:val="en-US"/>
        </w:rPr>
        <w:t xml:space="preserve"> </w:t>
      </w:r>
      <w:r>
        <w:rPr>
          <w:rFonts w:hint="eastAsia" w:ascii="Arial" w:hAnsi="Arial" w:cs="Arial" w:eastAsiaTheme="minorEastAsia"/>
          <w:highlight w:val="none"/>
        </w:rPr>
        <w:t>Common test environment for IoT NTN RF/RRM testing, Keysight Technologies UK Ltd, Thales, MediaTek</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R5-237957</w:t>
      </w:r>
      <w:r>
        <w:rPr>
          <w:rFonts w:ascii="Arial" w:hAnsi="Arial" w:cs="Arial" w:eastAsiaTheme="minorEastAsia"/>
          <w:highlight w:val="none"/>
          <w:lang w:val="en-US"/>
        </w:rPr>
        <w:t xml:space="preserve"> </w:t>
      </w:r>
      <w:r>
        <w:rPr>
          <w:rFonts w:hint="eastAsia" w:ascii="Arial" w:hAnsi="Arial" w:cs="Arial" w:eastAsiaTheme="minorEastAsia"/>
          <w:highlight w:val="none"/>
        </w:rPr>
        <w:t>k-Offset  update for IoT NTN RF/demod/RRM test cases, Keysight Technologies UK Ltd</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21-2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R5-236205</w:t>
      </w:r>
      <w:r>
        <w:rPr>
          <w:rFonts w:ascii="Arial" w:hAnsi="Arial" w:cs="Arial" w:eastAsiaTheme="minorEastAsia"/>
          <w:highlight w:val="none"/>
          <w:lang w:val="en-US"/>
        </w:rPr>
        <w:t xml:space="preserve"> </w:t>
      </w:r>
      <w:r>
        <w:rPr>
          <w:rFonts w:hint="eastAsia" w:ascii="Arial" w:hAnsi="Arial" w:cs="Arial" w:eastAsiaTheme="minorEastAsia"/>
          <w:highlight w:val="none"/>
        </w:rPr>
        <w:t>Update applicability for NB-IOT NTN test cases, MediaTek Beijing Inc.</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21-3</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R5-235997</w:t>
      </w:r>
      <w:r>
        <w:rPr>
          <w:rFonts w:ascii="Arial" w:hAnsi="Arial" w:cs="Arial" w:eastAsiaTheme="minorEastAsia"/>
          <w:highlight w:val="none"/>
          <w:lang w:val="en-US"/>
        </w:rPr>
        <w:t xml:space="preserve"> </w:t>
      </w:r>
      <w:r>
        <w:rPr>
          <w:rFonts w:hint="eastAsia" w:ascii="Arial" w:hAnsi="Arial" w:cs="Arial" w:eastAsiaTheme="minorEastAsia"/>
          <w:highlight w:val="none"/>
        </w:rPr>
        <w:t>Update NB-IoT NTN RLM IS test cases including TTs,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R5-235999</w:t>
      </w:r>
      <w:r>
        <w:rPr>
          <w:rFonts w:ascii="Arial" w:hAnsi="Arial" w:cs="Arial" w:eastAsiaTheme="minorEastAsia"/>
          <w:highlight w:val="none"/>
          <w:lang w:val="en-US"/>
        </w:rPr>
        <w:t xml:space="preserve"> </w:t>
      </w:r>
      <w:r>
        <w:rPr>
          <w:rFonts w:hint="eastAsia" w:ascii="Arial" w:hAnsi="Arial" w:cs="Arial" w:eastAsiaTheme="minorEastAsia"/>
          <w:highlight w:val="none"/>
        </w:rPr>
        <w:t>Update NB-IoT NTN RLM OOS test cases including TTs,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R5-236001</w:t>
      </w:r>
      <w:r>
        <w:rPr>
          <w:rFonts w:ascii="Arial" w:hAnsi="Arial" w:cs="Arial" w:eastAsiaTheme="minorEastAsia"/>
          <w:highlight w:val="none"/>
          <w:lang w:val="en-US"/>
        </w:rPr>
        <w:t xml:space="preserve"> </w:t>
      </w:r>
      <w:r>
        <w:rPr>
          <w:rFonts w:hint="eastAsia" w:ascii="Arial" w:hAnsi="Arial" w:cs="Arial" w:eastAsiaTheme="minorEastAsia"/>
          <w:highlight w:val="none"/>
        </w:rPr>
        <w:t>Update NB-IoT NTN timing advance test cases including TTs,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R5-23600</w:t>
      </w:r>
      <w:r>
        <w:rPr>
          <w:rFonts w:hint="default" w:ascii="Arial" w:hAnsi="Arial" w:cs="Arial" w:eastAsiaTheme="minorEastAsia"/>
          <w:highlight w:val="none"/>
          <w:lang w:val="en-US"/>
        </w:rPr>
        <w:t>3</w:t>
      </w:r>
      <w:r>
        <w:rPr>
          <w:rFonts w:ascii="Arial" w:hAnsi="Arial" w:cs="Arial" w:eastAsiaTheme="minorEastAsia"/>
          <w:highlight w:val="none"/>
          <w:lang w:val="en-US"/>
        </w:rPr>
        <w:t xml:space="preserve"> </w:t>
      </w:r>
      <w:r>
        <w:rPr>
          <w:rFonts w:hint="eastAsia" w:ascii="Arial" w:hAnsi="Arial" w:cs="Arial" w:eastAsiaTheme="minorEastAsia"/>
          <w:highlight w:val="none"/>
        </w:rPr>
        <w:t>Update NB-IoT NTN timing accuracy test cases including TTs,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R5-23600</w:t>
      </w:r>
      <w:r>
        <w:rPr>
          <w:rFonts w:hint="default" w:ascii="Arial" w:hAnsi="Arial" w:cs="Arial" w:eastAsiaTheme="minorEastAsia"/>
          <w:highlight w:val="none"/>
          <w:lang w:val="en-US"/>
        </w:rPr>
        <w:t>4</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NB-IoT NTN Cell reselection test cases 13.1.1.1 and 13.1.1.3 with Test Tolerance, 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R5-23600</w:t>
      </w:r>
      <w:r>
        <w:rPr>
          <w:rFonts w:hint="default" w:ascii="Arial" w:hAnsi="Arial" w:cs="Arial" w:eastAsiaTheme="minorEastAsia"/>
          <w:highlight w:val="none"/>
          <w:lang w:val="en-US"/>
        </w:rPr>
        <w:t>5</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NB-IoT NTN Cell reselection test cases 13.1.1.2 with Test Tolerance, 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R5-23600</w:t>
      </w:r>
      <w:r>
        <w:rPr>
          <w:rFonts w:hint="default" w:ascii="Arial" w:hAnsi="Arial" w:cs="Arial" w:eastAsiaTheme="minorEastAsia"/>
          <w:highlight w:val="none"/>
          <w:lang w:val="en-US"/>
        </w:rPr>
        <w:t>7</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NB-IoT NTN RRC Re-establishment test case 13.3.1.1 with Test Tolerance, MediaTek Inc.,Keysight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R5-23600</w:t>
      </w:r>
      <w:r>
        <w:rPr>
          <w:rFonts w:hint="default" w:ascii="Arial" w:hAnsi="Arial" w:cs="Arial" w:eastAsiaTheme="minorEastAsia"/>
          <w:highlight w:val="none"/>
          <w:lang w:val="en-US"/>
        </w:rPr>
        <w:t>8</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NB-IoT NTN RRC Re-establishment test case 13.3.1.2 with Test Tolerance, MediaTek Inc.,Keysight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R5-236028</w:t>
      </w:r>
      <w:r>
        <w:rPr>
          <w:rFonts w:ascii="Arial" w:hAnsi="Arial" w:cs="Arial" w:eastAsiaTheme="minorEastAsia"/>
          <w:highlight w:val="none"/>
          <w:lang w:val="en-US"/>
        </w:rPr>
        <w:t xml:space="preserve"> </w:t>
      </w:r>
      <w:r>
        <w:rPr>
          <w:rFonts w:hint="eastAsia" w:ascii="Arial" w:hAnsi="Arial" w:cs="Arial" w:eastAsiaTheme="minorEastAsia"/>
          <w:highlight w:val="none"/>
        </w:rPr>
        <w:t>Update of Annex F Measurement Uncertainties and Test Tolerances for IoT NTN random access and downlink channel quality reporting accuracy test cases,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R5-237671</w:t>
      </w:r>
      <w:r>
        <w:rPr>
          <w:rFonts w:ascii="Arial" w:hAnsi="Arial" w:cs="Arial" w:eastAsiaTheme="minorEastAsia"/>
          <w:highlight w:val="none"/>
          <w:lang w:val="en-US"/>
        </w:rPr>
        <w:t xml:space="preserve"> </w:t>
      </w:r>
      <w:r>
        <w:rPr>
          <w:rFonts w:hint="eastAsia" w:ascii="Arial" w:hAnsi="Arial" w:cs="Arial" w:eastAsiaTheme="minorEastAsia"/>
          <w:highlight w:val="none"/>
        </w:rPr>
        <w:t>Deletion of editors notes of MU TT  and update TT value for IoT NTN RA test cases,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R5-237937</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Deletion of brackets editors notes and core spec alignment update for IoT NTN RA test cases</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R5-236045</w:t>
      </w:r>
      <w:r>
        <w:rPr>
          <w:rFonts w:ascii="Arial" w:hAnsi="Arial" w:cs="Arial" w:eastAsiaTheme="minorEastAsia"/>
          <w:highlight w:val="none"/>
          <w:lang w:val="en-US"/>
        </w:rPr>
        <w:t xml:space="preserve"> </w:t>
      </w:r>
      <w:r>
        <w:rPr>
          <w:rFonts w:hint="eastAsia" w:ascii="Arial" w:hAnsi="Arial" w:cs="Arial" w:eastAsiaTheme="minorEastAsia"/>
          <w:highlight w:val="none"/>
        </w:rPr>
        <w:t>Several modification and correction of IoT NTN DCQR test cases,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R5-236047</w:t>
      </w:r>
      <w:r>
        <w:rPr>
          <w:rFonts w:ascii="Arial" w:hAnsi="Arial" w:cs="Arial" w:eastAsiaTheme="minorEastAsia"/>
          <w:highlight w:val="none"/>
          <w:lang w:val="en-US"/>
        </w:rPr>
        <w:t xml:space="preserve"> </w:t>
      </w:r>
      <w:r>
        <w:rPr>
          <w:rFonts w:hint="eastAsia" w:ascii="Arial" w:hAnsi="Arial" w:cs="Arial" w:eastAsiaTheme="minorEastAsia"/>
          <w:highlight w:val="none"/>
        </w:rPr>
        <w:t>Test applicability update for several iot ntn RRM cases,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R5-237867</w:t>
      </w:r>
      <w:r>
        <w:rPr>
          <w:rFonts w:ascii="Arial" w:hAnsi="Arial" w:cs="Arial" w:eastAsiaTheme="minorEastAsia"/>
          <w:highlight w:val="none"/>
          <w:lang w:val="en-US"/>
        </w:rPr>
        <w:t xml:space="preserve"> </w:t>
      </w:r>
      <w:r>
        <w:rPr>
          <w:rFonts w:hint="eastAsia" w:ascii="Arial" w:hAnsi="Arial" w:cs="Arial" w:eastAsiaTheme="minorEastAsia"/>
          <w:highlight w:val="none"/>
        </w:rPr>
        <w:t>Update initial condition for NB-IOT NTN test cases., MediaTek Beijing Inc., 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R5-236206</w:t>
      </w:r>
      <w:r>
        <w:rPr>
          <w:rFonts w:ascii="Arial" w:hAnsi="Arial" w:cs="Arial" w:eastAsiaTheme="minorEastAsia"/>
          <w:highlight w:val="none"/>
          <w:lang w:val="en-US"/>
        </w:rPr>
        <w:t xml:space="preserve"> </w:t>
      </w:r>
      <w:r>
        <w:rPr>
          <w:rFonts w:hint="eastAsia" w:ascii="Arial" w:hAnsi="Arial" w:cs="Arial" w:eastAsiaTheme="minorEastAsia"/>
          <w:highlight w:val="none"/>
        </w:rPr>
        <w:t>Update of core requirement for NB-IOT NTN timing test cases,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R5-237868</w:t>
      </w:r>
      <w:r>
        <w:rPr>
          <w:rFonts w:ascii="Arial" w:hAnsi="Arial" w:cs="Arial" w:eastAsiaTheme="minorEastAsia"/>
          <w:highlight w:val="none"/>
          <w:lang w:val="en-US"/>
        </w:rPr>
        <w:t xml:space="preserve"> </w:t>
      </w:r>
      <w:r>
        <w:rPr>
          <w:rFonts w:hint="eastAsia" w:ascii="Arial" w:hAnsi="Arial" w:cs="Arial" w:eastAsiaTheme="minorEastAsia"/>
          <w:highlight w:val="none"/>
        </w:rPr>
        <w:t>Update of satellite configuration, npush-TXDuraion and power level for NB-IOT NTN timing test cases,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R5-237869</w:t>
      </w:r>
      <w:r>
        <w:rPr>
          <w:rFonts w:ascii="Arial" w:hAnsi="Arial" w:cs="Arial" w:eastAsiaTheme="minorEastAsia"/>
          <w:highlight w:val="none"/>
          <w:lang w:val="en-US"/>
        </w:rPr>
        <w:t xml:space="preserve"> </w:t>
      </w:r>
      <w:r>
        <w:rPr>
          <w:rFonts w:hint="eastAsia" w:ascii="Arial" w:hAnsi="Arial" w:cs="Arial" w:eastAsiaTheme="minorEastAsia"/>
          <w:highlight w:val="none"/>
        </w:rPr>
        <w:t>Addition of serving satellite config for NB-IOT NTN test cases into Annex,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R5-236465</w:t>
      </w:r>
      <w:r>
        <w:rPr>
          <w:rFonts w:ascii="Arial" w:hAnsi="Arial" w:cs="Arial" w:eastAsiaTheme="minorEastAsia"/>
          <w:highlight w:val="none"/>
          <w:lang w:val="en-US"/>
        </w:rPr>
        <w:t xml:space="preserve"> </w:t>
      </w:r>
      <w:r>
        <w:rPr>
          <w:rFonts w:hint="eastAsia" w:ascii="Arial" w:hAnsi="Arial" w:cs="Arial" w:eastAsiaTheme="minorEastAsia"/>
          <w:highlight w:val="none"/>
        </w:rPr>
        <w:t>Addition of references of 36.521-3,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R5-236614</w:t>
      </w:r>
      <w:r>
        <w:rPr>
          <w:rFonts w:ascii="Arial" w:hAnsi="Arial" w:cs="Arial" w:eastAsiaTheme="minorEastAsia"/>
          <w:highlight w:val="none"/>
          <w:lang w:val="en-US"/>
        </w:rPr>
        <w:t xml:space="preserve"> </w:t>
      </w:r>
      <w:r>
        <w:rPr>
          <w:rFonts w:hint="eastAsia" w:ascii="Arial" w:hAnsi="Arial" w:cs="Arial" w:eastAsiaTheme="minorEastAsia"/>
          <w:highlight w:val="none"/>
        </w:rPr>
        <w:t>Correction to test environment for IoT NTN RA test cases, MediaTek (Hefei) Inc., 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R5-237672</w:t>
      </w:r>
      <w:r>
        <w:rPr>
          <w:rFonts w:ascii="Arial" w:hAnsi="Arial" w:cs="Arial" w:eastAsiaTheme="minorEastAsia"/>
          <w:highlight w:val="none"/>
          <w:lang w:val="en-US"/>
        </w:rPr>
        <w:t xml:space="preserve"> </w:t>
      </w:r>
      <w:r>
        <w:rPr>
          <w:rFonts w:hint="eastAsia" w:ascii="Arial" w:hAnsi="Arial" w:cs="Arial" w:eastAsiaTheme="minorEastAsia"/>
          <w:highlight w:val="none"/>
        </w:rPr>
        <w:t>Deletion of editors notes of MU TT and update TT value for IoT NTN DCQR test cases,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R5-236758</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13.4.3.1 RLM for OOS with DRX in normal coverage, MediaTek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R5-237964</w:t>
      </w:r>
      <w:r>
        <w:rPr>
          <w:rFonts w:ascii="Arial" w:hAnsi="Arial" w:cs="Arial" w:eastAsiaTheme="minorEastAsia"/>
          <w:highlight w:val="none"/>
          <w:lang w:val="en-US"/>
        </w:rPr>
        <w:t xml:space="preserve"> </w:t>
      </w:r>
      <w:r>
        <w:rPr>
          <w:rFonts w:hint="eastAsia" w:ascii="Arial" w:hAnsi="Arial" w:cs="Arial" w:eastAsiaTheme="minorEastAsia"/>
          <w:highlight w:val="none"/>
        </w:rPr>
        <w:t>Corrections to UE position provision for IoT-NTN, Rohde &amp; Schwarz</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R5-237958</w:t>
      </w:r>
      <w:r>
        <w:rPr>
          <w:rFonts w:ascii="Arial" w:hAnsi="Arial" w:cs="Arial" w:eastAsiaTheme="minorEastAsia"/>
          <w:highlight w:val="none"/>
          <w:lang w:val="en-US"/>
        </w:rPr>
        <w:t xml:space="preserve"> </w:t>
      </w:r>
      <w:r>
        <w:rPr>
          <w:rFonts w:hint="eastAsia" w:ascii="Arial" w:hAnsi="Arial" w:cs="Arial" w:eastAsiaTheme="minorEastAsia"/>
          <w:highlight w:val="none"/>
        </w:rPr>
        <w:t>Updates to High level test procedure for SAN RRM tests, Keysight Technologies UK Ltd</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.521-</w:t>
      </w:r>
      <w:r>
        <w:rPr>
          <w:rFonts w:ascii="Arial" w:hAnsi="Arial" w:eastAsia="宋体" w:cs="Arial"/>
          <w:b/>
          <w:highlight w:val="none"/>
          <w:lang w:val="en-US"/>
        </w:rPr>
        <w:t>4</w:t>
      </w:r>
      <w:r>
        <w:rPr>
          <w:rFonts w:hint="eastAsia" w:ascii="Arial" w:hAnsi="Arial" w:eastAsia="宋体" w:cs="Arial"/>
          <w:b/>
          <w:highlight w:val="none"/>
        </w:rPr>
        <w:t xml:space="preserve"> </w:t>
      </w:r>
      <w:r>
        <w:rPr>
          <w:rFonts w:ascii="Arial" w:hAnsi="Arial" w:eastAsia="宋体" w:cs="Arial"/>
          <w:b/>
          <w:highlight w:val="none"/>
          <w:lang w:val="en-US"/>
        </w:rPr>
        <w:t>p</w:t>
      </w:r>
      <w:r>
        <w:rPr>
          <w:rFonts w:hint="eastAsia" w:ascii="Arial" w:hAnsi="Arial" w:eastAsia="宋体" w:cs="Arial"/>
          <w:b/>
          <w:highlight w:val="none"/>
        </w:rPr>
        <w:t>CRs</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R5-236643</w:t>
      </w:r>
      <w:r>
        <w:rPr>
          <w:rFonts w:ascii="Arial" w:hAnsi="Arial" w:cs="Arial" w:eastAsiaTheme="minorEastAsia"/>
          <w:highlight w:val="none"/>
          <w:lang w:val="en-US"/>
        </w:rPr>
        <w:t xml:space="preserve"> </w:t>
      </w:r>
      <w:r>
        <w:rPr>
          <w:rFonts w:hint="eastAsia" w:ascii="Arial" w:hAnsi="Arial" w:cs="Arial" w:eastAsiaTheme="minorEastAsia"/>
          <w:highlight w:val="none"/>
        </w:rPr>
        <w:t>Draft TS 36.521-4 v0.4.0, CMCC, MediaTek</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R5-237675</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performance applicability of requirements in 36.521-4 ,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R5-23767</w:t>
      </w:r>
      <w:r>
        <w:rPr>
          <w:rFonts w:hint="default" w:ascii="Arial" w:hAnsi="Arial" w:cs="Arial" w:eastAsiaTheme="minorEastAsia"/>
          <w:highlight w:val="none"/>
          <w:lang w:val="en-US"/>
        </w:rPr>
        <w:t>6</w:t>
      </w:r>
      <w:r>
        <w:rPr>
          <w:rFonts w:ascii="Arial" w:hAnsi="Arial" w:cs="Arial" w:eastAsiaTheme="minorEastAsia"/>
          <w:highlight w:val="none"/>
          <w:lang w:val="en-US"/>
        </w:rPr>
        <w:t xml:space="preserve"> </w:t>
      </w:r>
      <w:r>
        <w:rPr>
          <w:rFonts w:hint="eastAsia" w:ascii="Arial" w:hAnsi="Arial" w:cs="Arial" w:eastAsiaTheme="minorEastAsia"/>
          <w:highlight w:val="none"/>
        </w:rPr>
        <w:t>Deletion of several editors notes for IoT NTN Demodulation test cases,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R5-237878</w:t>
      </w:r>
      <w:r>
        <w:rPr>
          <w:rFonts w:ascii="Arial" w:hAnsi="Arial" w:cs="Arial" w:eastAsiaTheme="minorEastAsia"/>
          <w:highlight w:val="none"/>
          <w:lang w:val="en-US"/>
        </w:rPr>
        <w:t xml:space="preserve"> </w:t>
      </w:r>
      <w:r>
        <w:rPr>
          <w:rFonts w:hint="eastAsia" w:ascii="Arial" w:hAnsi="Arial" w:cs="Arial" w:eastAsiaTheme="minorEastAsia"/>
          <w:highlight w:val="none"/>
        </w:rPr>
        <w:t>Initial condition update for IoT NTN Demod cases, MediaTek (Hefei) Inc.,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R5-237870</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6.4A.1 Frequency Error for category M1, MediaTek Beijing Inc. ,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R5-23787</w:t>
      </w:r>
      <w:r>
        <w:rPr>
          <w:rFonts w:hint="default" w:ascii="Arial" w:hAnsi="Arial" w:cs="Arial" w:eastAsiaTheme="minorEastAsia"/>
          <w:highlight w:val="none"/>
          <w:lang w:val="en-US"/>
        </w:rPr>
        <w:t>1</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6.4B.1 Frequency Error for category NB1 and NB2, MediaTek Beijing Inc. ,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R5-237686</w:t>
      </w:r>
      <w:r>
        <w:rPr>
          <w:rFonts w:ascii="Arial" w:hAnsi="Arial" w:cs="Arial" w:eastAsiaTheme="minorEastAsia"/>
          <w:highlight w:val="none"/>
          <w:lang w:val="en-US"/>
        </w:rPr>
        <w:t xml:space="preserve"> </w:t>
      </w:r>
      <w:r>
        <w:rPr>
          <w:rFonts w:hint="eastAsia" w:ascii="Arial" w:hAnsi="Arial" w:cs="Arial" w:eastAsiaTheme="minorEastAsia"/>
          <w:highlight w:val="none"/>
        </w:rPr>
        <w:t>Adding test case 7.3A Reference sensitivity power level for UE category M1, MediaTek Beijing Inc. ,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R5-237856</w:t>
      </w:r>
      <w:r>
        <w:rPr>
          <w:rFonts w:ascii="Arial" w:hAnsi="Arial" w:cs="Arial" w:eastAsiaTheme="minorEastAsia"/>
          <w:highlight w:val="none"/>
          <w:lang w:val="en-US"/>
        </w:rPr>
        <w:t xml:space="preserve"> </w:t>
      </w:r>
      <w:r>
        <w:rPr>
          <w:rFonts w:hint="eastAsia" w:ascii="Arial" w:hAnsi="Arial" w:cs="Arial" w:eastAsiaTheme="minorEastAsia"/>
          <w:highlight w:val="none"/>
        </w:rPr>
        <w:t>Initial conditions update for multiple TX test cases, MediaTek Beijing Inc. ,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R5-23785</w:t>
      </w:r>
      <w:r>
        <w:rPr>
          <w:rFonts w:hint="default" w:ascii="Arial" w:hAnsi="Arial" w:cs="Arial" w:eastAsiaTheme="minorEastAsia"/>
          <w:highlight w:val="none"/>
          <w:lang w:val="en-US"/>
        </w:rPr>
        <w:t>7</w:t>
      </w:r>
      <w:r>
        <w:rPr>
          <w:rFonts w:ascii="Arial" w:hAnsi="Arial" w:cs="Arial" w:eastAsiaTheme="minorEastAsia"/>
          <w:highlight w:val="none"/>
          <w:lang w:val="en-US"/>
        </w:rPr>
        <w:t xml:space="preserve"> </w:t>
      </w:r>
      <w:r>
        <w:rPr>
          <w:rFonts w:hint="eastAsia" w:ascii="Arial" w:hAnsi="Arial" w:cs="Arial" w:eastAsiaTheme="minorEastAsia"/>
          <w:highlight w:val="none"/>
        </w:rPr>
        <w:t>Initial conditions update for multiple RX test cases, MediaTek Beijing Inc. , Keysight Technologies UK Ltd ,CAICT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R5-237680</w:t>
      </w:r>
      <w:r>
        <w:rPr>
          <w:rFonts w:ascii="Arial" w:hAnsi="Arial" w:cs="Arial" w:eastAsiaTheme="minorEastAsia"/>
          <w:highlight w:val="none"/>
          <w:lang w:val="en-US"/>
        </w:rPr>
        <w:t xml:space="preserve"> </w:t>
      </w:r>
      <w:r>
        <w:rPr>
          <w:rFonts w:hint="eastAsia" w:ascii="Arial" w:hAnsi="Arial" w:cs="Arial" w:eastAsiaTheme="minorEastAsia"/>
          <w:highlight w:val="none"/>
        </w:rPr>
        <w:t>Addition of test configuration and error correction for 7.6A.2 In-band blocking for category M1, 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R5-237691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7.6A.3 Out-of-band blocking for category M1,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R5-23769</w:t>
      </w:r>
      <w:r>
        <w:rPr>
          <w:rFonts w:hint="default" w:ascii="Arial" w:hAnsi="Arial" w:cs="Arial" w:eastAsiaTheme="minorEastAsia"/>
          <w:highlight w:val="none"/>
          <w:lang w:val="en-US"/>
        </w:rPr>
        <w:t>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7.6A.4 Narrow band blocking for category M1,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R5-237681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Confirmation of test configuration and error correction for 7.6B.2 In-band blocking for category NB1 and NB2,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R5-237693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7.6B.3 Out-of-band blocking for category NB1 and NB2,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R5-236131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Removal of 7.6B.4 Narrow band blocking for category NB1 and NB2,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R5-237682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7.7A Spurious response for category M1,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R5-237683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7.7B Spurious response for category NB1 and NB2,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R5-237694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7.8A Intermodulation characteristics for category M1,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R5-23769</w:t>
      </w:r>
      <w:r>
        <w:rPr>
          <w:rFonts w:hint="default" w:ascii="Arial" w:hAnsi="Arial" w:cs="Arial" w:eastAsiaTheme="minorEastAsia"/>
          <w:highlight w:val="none"/>
          <w:lang w:val="en-US"/>
        </w:rPr>
        <w:t>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7.8B Intermodulation characteristics for category NB1 and NB2,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R5-237684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test configuration for 7.9A Spurious emissions for category M1,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R5-23768</w:t>
      </w:r>
      <w:r>
        <w:rPr>
          <w:rFonts w:hint="default" w:ascii="Arial" w:hAnsi="Arial" w:cs="Arial" w:eastAsiaTheme="minorEastAsia"/>
          <w:highlight w:val="none"/>
          <w:lang w:val="en-US"/>
        </w:rPr>
        <w:t>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test configuration for 7.9B Spurious emissions for category NB1 and NB2,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R5-236138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measurement uncertainties and test tolerances for test cases from 7.6 to 7.9, </w:t>
      </w:r>
      <w:r>
        <w:rPr>
          <w:rFonts w:hint="default" w:ascii="Arial" w:hAnsi="Arial" w:cs="Arial" w:eastAsiaTheme="minorEastAsia"/>
          <w:highlight w:val="none"/>
          <w:lang w:val="en-US"/>
        </w:rPr>
        <w:t>CAICT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R5-236154</w:t>
      </w:r>
      <w:r>
        <w:rPr>
          <w:rFonts w:ascii="Arial" w:hAnsi="Arial" w:cs="Arial" w:eastAsiaTheme="minorEastAsia"/>
          <w:highlight w:val="none"/>
          <w:lang w:val="en-US"/>
        </w:rPr>
        <w:t xml:space="preserve"> </w:t>
      </w:r>
      <w:r>
        <w:rPr>
          <w:rFonts w:hint="eastAsia" w:ascii="Arial" w:hAnsi="Arial" w:cs="Arial" w:eastAsiaTheme="minorEastAsia"/>
          <w:highlight w:val="none"/>
        </w:rPr>
        <w:t>Addition of downlink physical channels for connection set-up for Cat NB1 and NB2,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R5-236278</w:t>
      </w:r>
      <w:r>
        <w:rPr>
          <w:rFonts w:ascii="Arial" w:hAnsi="Arial" w:cs="Arial" w:eastAsiaTheme="minorEastAsia"/>
          <w:highlight w:val="none"/>
          <w:lang w:val="en-US"/>
        </w:rPr>
        <w:t xml:space="preserve"> </w:t>
      </w:r>
      <w:r>
        <w:rPr>
          <w:rFonts w:hint="eastAsia" w:ascii="Arial" w:hAnsi="Arial" w:cs="Arial" w:eastAsiaTheme="minorEastAsia"/>
          <w:highlight w:val="none"/>
        </w:rPr>
        <w:t>Editor's Note removing for IoT NTN TX test cases, MediaTek Beijing Inc. ,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R5-237687</w:t>
      </w:r>
      <w:r>
        <w:rPr>
          <w:rFonts w:ascii="Arial" w:hAnsi="Arial" w:cs="Arial" w:eastAsiaTheme="minorEastAsia"/>
          <w:highlight w:val="none"/>
          <w:lang w:val="en-US"/>
        </w:rPr>
        <w:t xml:space="preserve"> </w:t>
      </w:r>
      <w:r>
        <w:rPr>
          <w:rFonts w:hint="eastAsia" w:ascii="Arial" w:hAnsi="Arial" w:cs="Arial" w:eastAsiaTheme="minorEastAsia"/>
          <w:highlight w:val="none"/>
        </w:rPr>
        <w:t>Update of NTN NB-IoT Maximum input level &amp; ACS test cases, Sporton</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R5-236634</w:t>
      </w:r>
      <w:r>
        <w:rPr>
          <w:rFonts w:ascii="Arial" w:hAnsi="Arial" w:cs="Arial" w:eastAsiaTheme="minorEastAsia"/>
          <w:highlight w:val="none"/>
          <w:lang w:val="en-US"/>
        </w:rPr>
        <w:t xml:space="preserve"> </w:t>
      </w:r>
      <w:r>
        <w:rPr>
          <w:rFonts w:hint="eastAsia" w:ascii="Arial" w:hAnsi="Arial" w:cs="Arial" w:eastAsiaTheme="minorEastAsia"/>
          <w:highlight w:val="none"/>
        </w:rPr>
        <w:t>Correction of Clause 6.2B for IoT NTN, MediaTek Beijing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R5-237879</w:t>
      </w:r>
      <w:r>
        <w:rPr>
          <w:rFonts w:ascii="Arial" w:hAnsi="Arial" w:cs="Arial" w:eastAsiaTheme="minorEastAsia"/>
          <w:highlight w:val="none"/>
          <w:lang w:val="en-US"/>
        </w:rPr>
        <w:t xml:space="preserve"> </w:t>
      </w:r>
      <w:r>
        <w:rPr>
          <w:rFonts w:hint="eastAsia" w:ascii="Arial" w:hAnsi="Arial" w:cs="Arial" w:eastAsiaTheme="minorEastAsia"/>
          <w:highlight w:val="none"/>
        </w:rPr>
        <w:t>Clear-up pCR for Editor notes of message exception and MUTT, CMCC, MediaTek,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R5-236646</w:t>
      </w:r>
      <w:r>
        <w:rPr>
          <w:rFonts w:ascii="Arial" w:hAnsi="Arial" w:cs="Arial" w:eastAsiaTheme="minorEastAsia"/>
          <w:highlight w:val="none"/>
          <w:lang w:val="en-US"/>
        </w:rPr>
        <w:t xml:space="preserve"> </w:t>
      </w:r>
      <w:r>
        <w:rPr>
          <w:rFonts w:hint="eastAsia" w:ascii="Arial" w:hAnsi="Arial" w:cs="Arial" w:eastAsiaTheme="minorEastAsia"/>
          <w:highlight w:val="none"/>
        </w:rPr>
        <w:t>Clear-up pCR for Annex references, CMCC, MediaTek,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R5-237480</w:t>
      </w:r>
      <w:r>
        <w:rPr>
          <w:rFonts w:ascii="Arial" w:hAnsi="Arial" w:cs="Arial" w:eastAsiaTheme="minorEastAsia"/>
          <w:highlight w:val="none"/>
          <w:lang w:val="en-US"/>
        </w:rPr>
        <w:t xml:space="preserve"> </w:t>
      </w:r>
      <w:r>
        <w:rPr>
          <w:rFonts w:hint="eastAsia" w:ascii="Arial" w:hAnsi="Arial" w:cs="Arial" w:eastAsiaTheme="minorEastAsia"/>
          <w:highlight w:val="none"/>
        </w:rPr>
        <w:t>Update of Annex F Test Tolerances, CMCC, MediaTek,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R5-23748</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Update of Annex F Measurement Uncertainties, CMCC, MediaTek,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R5-23664</w:t>
      </w:r>
      <w:r>
        <w:rPr>
          <w:rFonts w:hint="default" w:ascii="Arial" w:hAnsi="Arial" w:cs="Arial" w:eastAsiaTheme="minorEastAsia"/>
          <w:highlight w:val="none"/>
          <w:lang w:val="en-US"/>
        </w:rPr>
        <w:t>9</w:t>
      </w:r>
      <w:r>
        <w:rPr>
          <w:rFonts w:ascii="Arial" w:hAnsi="Arial" w:cs="Arial" w:eastAsiaTheme="minorEastAsia"/>
          <w:highlight w:val="none"/>
          <w:lang w:val="en-US"/>
        </w:rPr>
        <w:t xml:space="preserve"> </w:t>
      </w:r>
      <w:r>
        <w:rPr>
          <w:rFonts w:hint="eastAsia" w:ascii="Arial" w:hAnsi="Arial" w:cs="Arial" w:eastAsiaTheme="minorEastAsia"/>
          <w:highlight w:val="none"/>
        </w:rPr>
        <w:t>Editorial correction to TC titles of NB-IoT/eMTC NTN, CMCC,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w:t>
      </w:r>
      <w:r>
        <w:rPr>
          <w:rFonts w:hint="default" w:ascii="Arial" w:hAnsi="Arial" w:cs="Arial" w:eastAsiaTheme="minorEastAsia"/>
          <w:highlight w:val="none"/>
          <w:lang w:val="en-US"/>
        </w:rPr>
        <w:t>965</w:t>
      </w:r>
      <w:r>
        <w:rPr>
          <w:rFonts w:ascii="Arial" w:hAnsi="Arial" w:cs="Arial" w:eastAsiaTheme="minorEastAsia"/>
          <w:highlight w:val="none"/>
          <w:lang w:val="en-US"/>
        </w:rPr>
        <w:t xml:space="preserve"> </w:t>
      </w:r>
      <w:r>
        <w:rPr>
          <w:rFonts w:hint="eastAsia" w:ascii="Arial" w:hAnsi="Arial" w:cs="Arial" w:eastAsiaTheme="minorEastAsia"/>
          <w:highlight w:val="none"/>
        </w:rPr>
        <w:t>Core requirements alignment for IoT NTN test cases, Keysight Technologies UK Ltd</w:t>
      </w:r>
    </w:p>
    <w:p>
      <w:pPr>
        <w:tabs>
          <w:tab w:val="left" w:pos="567"/>
        </w:tabs>
        <w:overflowPunct/>
        <w:autoSpaceDE/>
        <w:autoSpaceDN/>
        <w:snapToGrid w:val="0"/>
        <w:spacing w:after="0"/>
        <w:textAlignment w:val="auto"/>
        <w:rPr>
          <w:rFonts w:ascii="Arial" w:hAnsi="Arial" w:cs="Arial" w:eastAsiaTheme="minorEastAsia"/>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ascii="Arial" w:hAnsi="Arial" w:eastAsia="宋体" w:cs="Arial"/>
          <w:b/>
          <w:highlight w:val="none"/>
          <w:lang w:val="en-US"/>
        </w:rPr>
        <w:t>90</w:t>
      </w:r>
      <w:r>
        <w:rPr>
          <w:rFonts w:hint="default" w:ascii="Arial" w:hAnsi="Arial" w:eastAsia="宋体" w:cs="Arial"/>
          <w:b/>
          <w:highlight w:val="none"/>
          <w:lang w:val="en-US"/>
        </w:rPr>
        <w:t>3</w:t>
      </w:r>
      <w:r>
        <w:rPr>
          <w:rFonts w:hint="eastAsia" w:ascii="Arial" w:hAnsi="Arial" w:eastAsia="宋体" w:cs="Arial"/>
          <w:b/>
          <w:highlight w:val="none"/>
        </w:rPr>
        <w:t xml:space="preserve"> CRs</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R5-235996</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TT analysis for NB-IoT NTN RLM IS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Beijing Inc., Keysight Technologies UK Ltd</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R5-235998</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TT analysis for NB-IoT NTN RLM OOS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Beijing Inc., Keysight Technologies UK Ltd</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R5-236000</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TT analysis for NB-IoT NTN timing advance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Beijing Inc., Keysight Technologies UK Ltd</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R5-236002</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TT analysis for NB-IoT NTN timing accuracy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Beijing Inc., Keysight Technologies UK Ltd</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R5-236006</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TT analysis addition for NB-IoT NTN RRC Re-establishment test cases 13.3.1.1 and 13.3.1.2</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Inc.,Keysight Technologies UK Ltd</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R5-236009</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of TT analysis for NB-IoT Cell Reselection test cases 13.1.1.1, 13.1.1.2 and 13.1.1.3</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Inc., Keysight Technologies UK Ltd</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R5-236025</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TT analysis for NB-IoT NTN random access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(Hefei) Inc., Keysight Technologies UK Ltd</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lang w:val="en-US"/>
        </w:rPr>
      </w:pPr>
      <w:r>
        <w:rPr>
          <w:rFonts w:hint="eastAsia" w:ascii="Arial" w:hAnsi="Arial" w:cs="Arial" w:eastAsiaTheme="minorEastAsia"/>
          <w:highlight w:val="none"/>
        </w:rPr>
        <w:t>R5-23602</w:t>
      </w:r>
      <w:r>
        <w:rPr>
          <w:rFonts w:hint="default" w:ascii="Arial" w:hAnsi="Arial" w:cs="Arial" w:eastAsiaTheme="minorEastAsia"/>
          <w:highlight w:val="none"/>
          <w:lang w:val="en-US"/>
        </w:rPr>
        <w:t>6</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TT analysis for NB-IoT NTN downlink channel quality reporting accuracy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(Hefei) Inc., Keysight Technologies UK Ltd</w:t>
      </w:r>
    </w:p>
    <w:p>
      <w:pPr>
        <w:numPr>
          <w:ilvl w:val="0"/>
          <w:numId w:val="0"/>
        </w:numPr>
        <w:tabs>
          <w:tab w:val="left" w:pos="567"/>
        </w:tabs>
        <w:overflowPunct/>
        <w:autoSpaceDE/>
        <w:autoSpaceDN/>
        <w:adjustRightInd w:val="0"/>
        <w:snapToGrid w:val="0"/>
        <w:spacing w:after="0"/>
        <w:textAlignment w:val="auto"/>
        <w:rPr>
          <w:rFonts w:ascii="Arial" w:hAnsi="Arial" w:cs="Arial" w:eastAsiaTheme="minorEastAsia"/>
          <w:highlight w:val="yellow"/>
          <w:lang w:val="en-US"/>
        </w:rPr>
      </w:pPr>
      <w:bookmarkStart w:id="0" w:name="_GoBack"/>
      <w:bookmarkEnd w:id="0"/>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ascii="Arial" w:hAnsi="Arial" w:eastAsia="宋体" w:cs="Arial"/>
          <w:b/>
          <w:highlight w:val="none"/>
          <w:lang w:val="en-US"/>
        </w:rPr>
        <w:t>905</w:t>
      </w:r>
      <w:r>
        <w:rPr>
          <w:rFonts w:hint="eastAsia" w:ascii="Arial" w:hAnsi="Arial" w:eastAsia="宋体" w:cs="Arial"/>
          <w:b/>
          <w:highlight w:val="none"/>
        </w:rPr>
        <w:t xml:space="preserve"> CRs</w:t>
      </w:r>
    </w:p>
    <w:p>
      <w:pPr>
        <w:numPr>
          <w:ilvl w:val="0"/>
          <w:numId w:val="12"/>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R5-237678</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of general rules of test point selection for IoT NTN Rx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CAICT</w:t>
      </w:r>
    </w:p>
    <w:p>
      <w:pPr>
        <w:numPr>
          <w:ilvl w:val="0"/>
          <w:numId w:val="12"/>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R5-237677</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Test point analysis for IoT NTN receiver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CAICT, Sporton, MediaTek Beijing Inc.</w:t>
      </w:r>
    </w:p>
    <w:p>
      <w:pPr>
        <w:numPr>
          <w:ilvl w:val="0"/>
          <w:numId w:val="12"/>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R5-237679</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Adding Test point analysis for IoT NTN TX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Beijing Inc. , Keysight Technologies UK Ltd</w:t>
      </w:r>
    </w:p>
    <w:p>
      <w:pPr>
        <w:numPr>
          <w:ilvl w:val="0"/>
          <w:numId w:val="12"/>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R5-237872</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Adding Test point analysis for IoT NTN frequency error test cases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Keysight Technologies UK Ltd</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44658"/>
    <w:multiLevelType w:val="singleLevel"/>
    <w:tmpl w:val="9BA44658"/>
    <w:lvl w:ilvl="0" w:tentative="0">
      <w:start w:val="1"/>
      <w:numFmt w:val="decimal"/>
      <w:lvlText w:val="[%1]"/>
      <w:lvlJc w:val="left"/>
      <w:rPr>
        <w:b w:val="0"/>
      </w:rPr>
    </w:lvl>
  </w:abstractNum>
  <w:abstractNum w:abstractNumId="1">
    <w:nsid w:val="B4452FAB"/>
    <w:multiLevelType w:val="singleLevel"/>
    <w:tmpl w:val="B4452FAB"/>
    <w:lvl w:ilvl="0" w:tentative="0">
      <w:start w:val="1"/>
      <w:numFmt w:val="decimal"/>
      <w:lvlText w:val="[%1]"/>
      <w:lvlJc w:val="left"/>
      <w:rPr>
        <w:b w:val="0"/>
      </w:rPr>
    </w:lvl>
  </w:abstractNum>
  <w:abstractNum w:abstractNumId="2">
    <w:nsid w:val="BBB2A7C3"/>
    <w:multiLevelType w:val="singleLevel"/>
    <w:tmpl w:val="BBB2A7C3"/>
    <w:lvl w:ilvl="0" w:tentative="0">
      <w:start w:val="1"/>
      <w:numFmt w:val="decimal"/>
      <w:lvlText w:val="[%1]"/>
      <w:lvlJc w:val="left"/>
      <w:rPr>
        <w:b w:val="0"/>
      </w:rPr>
    </w:lvl>
  </w:abstractNum>
  <w:abstractNum w:abstractNumId="3">
    <w:nsid w:val="CB4F2797"/>
    <w:multiLevelType w:val="singleLevel"/>
    <w:tmpl w:val="CB4F2797"/>
    <w:lvl w:ilvl="0" w:tentative="0">
      <w:start w:val="1"/>
      <w:numFmt w:val="decimal"/>
      <w:lvlText w:val="[%1]"/>
      <w:lvlJc w:val="left"/>
      <w:rPr>
        <w:b w:val="0"/>
      </w:rPr>
    </w:lvl>
  </w:abstractNum>
  <w:abstractNum w:abstractNumId="4">
    <w:nsid w:val="E6C72CB5"/>
    <w:multiLevelType w:val="singleLevel"/>
    <w:tmpl w:val="E6C72CB5"/>
    <w:lvl w:ilvl="0" w:tentative="0">
      <w:start w:val="1"/>
      <w:numFmt w:val="decimal"/>
      <w:lvlText w:val="[%1]"/>
      <w:lvlJc w:val="left"/>
      <w:rPr>
        <w:b w:val="0"/>
      </w:rPr>
    </w:lvl>
  </w:abstractNum>
  <w:abstractNum w:abstractNumId="5">
    <w:nsid w:val="FCA84EEE"/>
    <w:multiLevelType w:val="singleLevel"/>
    <w:tmpl w:val="FCA84EEE"/>
    <w:lvl w:ilvl="0" w:tentative="0">
      <w:start w:val="1"/>
      <w:numFmt w:val="decimal"/>
      <w:lvlText w:val="[%1]"/>
      <w:lvlJc w:val="left"/>
      <w:rPr>
        <w:b w:val="0"/>
      </w:rPr>
    </w:lvl>
  </w:abstractNum>
  <w:abstractNum w:abstractNumId="6">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7">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8">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614024BA"/>
    <w:multiLevelType w:val="singleLevel"/>
    <w:tmpl w:val="614024BA"/>
    <w:lvl w:ilvl="0" w:tentative="0">
      <w:start w:val="1"/>
      <w:numFmt w:val="decimal"/>
      <w:lvlText w:val="[%1]"/>
      <w:lvlJc w:val="left"/>
      <w:rPr>
        <w:b w:val="0"/>
      </w:rPr>
    </w:lvl>
  </w:abstractNum>
  <w:abstractNum w:abstractNumId="10">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7"/>
  </w:num>
  <w:num w:numId="3">
    <w:abstractNumId w:val="11"/>
  </w:num>
  <w:num w:numId="4">
    <w:abstractNumId w:val="6"/>
  </w:num>
  <w:num w:numId="5">
    <w:abstractNumId w:val="8"/>
  </w:num>
  <w:num w:numId="6">
    <w:abstractNumId w:val="9"/>
  </w:num>
  <w:num w:numId="7">
    <w:abstractNumId w:val="1"/>
  </w:num>
  <w:num w:numId="8">
    <w:abstractNumId w:val="0"/>
  </w:num>
  <w:num w:numId="9">
    <w:abstractNumId w:val="2"/>
  </w:num>
  <w:num w:numId="10">
    <w:abstractNumId w:val="4"/>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20E27B3"/>
    <w:rsid w:val="032C5770"/>
    <w:rsid w:val="0352627C"/>
    <w:rsid w:val="03FC0C17"/>
    <w:rsid w:val="04137C88"/>
    <w:rsid w:val="043750F8"/>
    <w:rsid w:val="045042DE"/>
    <w:rsid w:val="046F64A5"/>
    <w:rsid w:val="04B02D72"/>
    <w:rsid w:val="06400C05"/>
    <w:rsid w:val="06C62B3E"/>
    <w:rsid w:val="0745663A"/>
    <w:rsid w:val="07683368"/>
    <w:rsid w:val="07BA46E8"/>
    <w:rsid w:val="0867547F"/>
    <w:rsid w:val="08AF5136"/>
    <w:rsid w:val="08B5289D"/>
    <w:rsid w:val="08B909EB"/>
    <w:rsid w:val="08C0303F"/>
    <w:rsid w:val="08CA4C78"/>
    <w:rsid w:val="08F73AFF"/>
    <w:rsid w:val="09070455"/>
    <w:rsid w:val="0A294D91"/>
    <w:rsid w:val="0A934B7D"/>
    <w:rsid w:val="0AB16165"/>
    <w:rsid w:val="0ADC0554"/>
    <w:rsid w:val="0AEC1FBC"/>
    <w:rsid w:val="0B8C18E5"/>
    <w:rsid w:val="0BD93F8C"/>
    <w:rsid w:val="0C4247A1"/>
    <w:rsid w:val="0C437935"/>
    <w:rsid w:val="0C52731B"/>
    <w:rsid w:val="0CC143A0"/>
    <w:rsid w:val="0CCE7DF8"/>
    <w:rsid w:val="0D4F1A3A"/>
    <w:rsid w:val="0D6301B6"/>
    <w:rsid w:val="0DDB6ECB"/>
    <w:rsid w:val="0DDD0F23"/>
    <w:rsid w:val="0E041CB4"/>
    <w:rsid w:val="0E050F30"/>
    <w:rsid w:val="0EF8252D"/>
    <w:rsid w:val="0F9868D5"/>
    <w:rsid w:val="10211C2E"/>
    <w:rsid w:val="108D73EF"/>
    <w:rsid w:val="10B506EB"/>
    <w:rsid w:val="10F52B6E"/>
    <w:rsid w:val="11614015"/>
    <w:rsid w:val="11B11ADC"/>
    <w:rsid w:val="11B6439C"/>
    <w:rsid w:val="12230FDF"/>
    <w:rsid w:val="123371E8"/>
    <w:rsid w:val="129D59D4"/>
    <w:rsid w:val="12A922D2"/>
    <w:rsid w:val="12EB6ADC"/>
    <w:rsid w:val="133A2C0E"/>
    <w:rsid w:val="13C244F2"/>
    <w:rsid w:val="13CE4A0B"/>
    <w:rsid w:val="13CE75C4"/>
    <w:rsid w:val="140E52AD"/>
    <w:rsid w:val="143603B6"/>
    <w:rsid w:val="14B4509C"/>
    <w:rsid w:val="151644D5"/>
    <w:rsid w:val="15324AB7"/>
    <w:rsid w:val="157E4282"/>
    <w:rsid w:val="15FC081A"/>
    <w:rsid w:val="160C3730"/>
    <w:rsid w:val="16182EEA"/>
    <w:rsid w:val="166B4DEF"/>
    <w:rsid w:val="171666D4"/>
    <w:rsid w:val="17E16027"/>
    <w:rsid w:val="17FA09E4"/>
    <w:rsid w:val="18120651"/>
    <w:rsid w:val="18C33C48"/>
    <w:rsid w:val="191B541E"/>
    <w:rsid w:val="199D5748"/>
    <w:rsid w:val="19C85510"/>
    <w:rsid w:val="19DD70C1"/>
    <w:rsid w:val="19F41590"/>
    <w:rsid w:val="1A7172E1"/>
    <w:rsid w:val="1A78680F"/>
    <w:rsid w:val="1AB27FD4"/>
    <w:rsid w:val="1B537FAB"/>
    <w:rsid w:val="1B687D51"/>
    <w:rsid w:val="1BCB61E8"/>
    <w:rsid w:val="1BEE16E9"/>
    <w:rsid w:val="1C6542B2"/>
    <w:rsid w:val="1C6A4BF8"/>
    <w:rsid w:val="1D1D3289"/>
    <w:rsid w:val="1DB22A9C"/>
    <w:rsid w:val="1E2106D1"/>
    <w:rsid w:val="1E7D2085"/>
    <w:rsid w:val="1E8D1AAC"/>
    <w:rsid w:val="1EBE6975"/>
    <w:rsid w:val="1F646F04"/>
    <w:rsid w:val="1F96173A"/>
    <w:rsid w:val="1F9D0E06"/>
    <w:rsid w:val="1FBD1ABA"/>
    <w:rsid w:val="1FD55AE8"/>
    <w:rsid w:val="209D5060"/>
    <w:rsid w:val="20CB2FF0"/>
    <w:rsid w:val="20E950C5"/>
    <w:rsid w:val="21344B4A"/>
    <w:rsid w:val="213E2789"/>
    <w:rsid w:val="21AC235B"/>
    <w:rsid w:val="21D32B8D"/>
    <w:rsid w:val="21F962B2"/>
    <w:rsid w:val="22735549"/>
    <w:rsid w:val="22FC06E3"/>
    <w:rsid w:val="24057FFB"/>
    <w:rsid w:val="24140B3E"/>
    <w:rsid w:val="259957EC"/>
    <w:rsid w:val="260B6710"/>
    <w:rsid w:val="26A42548"/>
    <w:rsid w:val="26D9199B"/>
    <w:rsid w:val="272B7C0B"/>
    <w:rsid w:val="27452B8C"/>
    <w:rsid w:val="275A7663"/>
    <w:rsid w:val="276A1428"/>
    <w:rsid w:val="279C4099"/>
    <w:rsid w:val="280837ED"/>
    <w:rsid w:val="289A71A7"/>
    <w:rsid w:val="29083E60"/>
    <w:rsid w:val="29B63A0A"/>
    <w:rsid w:val="2A1D1B25"/>
    <w:rsid w:val="2AA3517C"/>
    <w:rsid w:val="2AEF25C6"/>
    <w:rsid w:val="2B025C05"/>
    <w:rsid w:val="2B0262B8"/>
    <w:rsid w:val="2B3C17C0"/>
    <w:rsid w:val="2CEA3B3F"/>
    <w:rsid w:val="2D102550"/>
    <w:rsid w:val="2D171859"/>
    <w:rsid w:val="2E2C3250"/>
    <w:rsid w:val="2ED83DA6"/>
    <w:rsid w:val="2EF06FB2"/>
    <w:rsid w:val="2EF30C78"/>
    <w:rsid w:val="2F7E02C0"/>
    <w:rsid w:val="2F89581B"/>
    <w:rsid w:val="2FBD3F29"/>
    <w:rsid w:val="303C7BDB"/>
    <w:rsid w:val="30AA70B7"/>
    <w:rsid w:val="30BF083E"/>
    <w:rsid w:val="314A536E"/>
    <w:rsid w:val="316F7BD4"/>
    <w:rsid w:val="31EA6791"/>
    <w:rsid w:val="32292413"/>
    <w:rsid w:val="32B75B6C"/>
    <w:rsid w:val="34713B2D"/>
    <w:rsid w:val="3488303F"/>
    <w:rsid w:val="34C21990"/>
    <w:rsid w:val="350B369B"/>
    <w:rsid w:val="355E3164"/>
    <w:rsid w:val="359E14C1"/>
    <w:rsid w:val="360A789F"/>
    <w:rsid w:val="362430B9"/>
    <w:rsid w:val="365F2F17"/>
    <w:rsid w:val="366C1F64"/>
    <w:rsid w:val="37192BB2"/>
    <w:rsid w:val="37EB73B1"/>
    <w:rsid w:val="37FD0684"/>
    <w:rsid w:val="39FB4108"/>
    <w:rsid w:val="3B06367F"/>
    <w:rsid w:val="3B4E19A8"/>
    <w:rsid w:val="3B7518FD"/>
    <w:rsid w:val="3BBD2E75"/>
    <w:rsid w:val="3BD7776B"/>
    <w:rsid w:val="3C1267DA"/>
    <w:rsid w:val="3DAB3692"/>
    <w:rsid w:val="3E051C88"/>
    <w:rsid w:val="3ECC4BE8"/>
    <w:rsid w:val="3F816D84"/>
    <w:rsid w:val="40192383"/>
    <w:rsid w:val="402F1A51"/>
    <w:rsid w:val="4041787C"/>
    <w:rsid w:val="4056719A"/>
    <w:rsid w:val="41963733"/>
    <w:rsid w:val="421F2EEA"/>
    <w:rsid w:val="42D52692"/>
    <w:rsid w:val="42FC2DBB"/>
    <w:rsid w:val="43B1111A"/>
    <w:rsid w:val="441E0FD5"/>
    <w:rsid w:val="44404107"/>
    <w:rsid w:val="447D6A17"/>
    <w:rsid w:val="449D7185"/>
    <w:rsid w:val="45AE7D7B"/>
    <w:rsid w:val="46186BB2"/>
    <w:rsid w:val="463251D1"/>
    <w:rsid w:val="46D41D51"/>
    <w:rsid w:val="478D5278"/>
    <w:rsid w:val="47D74267"/>
    <w:rsid w:val="486E2258"/>
    <w:rsid w:val="48811037"/>
    <w:rsid w:val="48886A9B"/>
    <w:rsid w:val="48CE65F4"/>
    <w:rsid w:val="490B77B8"/>
    <w:rsid w:val="492A3986"/>
    <w:rsid w:val="49956E69"/>
    <w:rsid w:val="49FE24F4"/>
    <w:rsid w:val="4A016A84"/>
    <w:rsid w:val="4A117E90"/>
    <w:rsid w:val="4A1E3DC9"/>
    <w:rsid w:val="4AB56D9A"/>
    <w:rsid w:val="4B0F7224"/>
    <w:rsid w:val="4C6E4F06"/>
    <w:rsid w:val="4DAE1980"/>
    <w:rsid w:val="4E422279"/>
    <w:rsid w:val="4E5530CC"/>
    <w:rsid w:val="4E8D380A"/>
    <w:rsid w:val="4EFD25E7"/>
    <w:rsid w:val="4F977586"/>
    <w:rsid w:val="4FB12248"/>
    <w:rsid w:val="506811F0"/>
    <w:rsid w:val="50E44BFB"/>
    <w:rsid w:val="51323E6D"/>
    <w:rsid w:val="5172486F"/>
    <w:rsid w:val="517331D1"/>
    <w:rsid w:val="518E6791"/>
    <w:rsid w:val="51BD5B05"/>
    <w:rsid w:val="51CD0DAD"/>
    <w:rsid w:val="51EB2461"/>
    <w:rsid w:val="51FF10C0"/>
    <w:rsid w:val="53247EF5"/>
    <w:rsid w:val="53A51416"/>
    <w:rsid w:val="53D71BAD"/>
    <w:rsid w:val="540E6C5A"/>
    <w:rsid w:val="54A74EB5"/>
    <w:rsid w:val="54DA0AD6"/>
    <w:rsid w:val="55DF79A7"/>
    <w:rsid w:val="564E5D25"/>
    <w:rsid w:val="56634B44"/>
    <w:rsid w:val="56931BEC"/>
    <w:rsid w:val="56CE6A8E"/>
    <w:rsid w:val="570023F4"/>
    <w:rsid w:val="57740818"/>
    <w:rsid w:val="58DF5C23"/>
    <w:rsid w:val="595371D3"/>
    <w:rsid w:val="59AA2AE2"/>
    <w:rsid w:val="59C23FFD"/>
    <w:rsid w:val="5A0E3BCE"/>
    <w:rsid w:val="5A466BC8"/>
    <w:rsid w:val="5A81521A"/>
    <w:rsid w:val="5A85323A"/>
    <w:rsid w:val="5ACC0548"/>
    <w:rsid w:val="5B980404"/>
    <w:rsid w:val="5BDB61ED"/>
    <w:rsid w:val="5C147E54"/>
    <w:rsid w:val="5D2D156D"/>
    <w:rsid w:val="5E8250F4"/>
    <w:rsid w:val="5EA178AA"/>
    <w:rsid w:val="5EA615D3"/>
    <w:rsid w:val="5ED94C03"/>
    <w:rsid w:val="5F0A5107"/>
    <w:rsid w:val="6013139C"/>
    <w:rsid w:val="60291E96"/>
    <w:rsid w:val="609676C4"/>
    <w:rsid w:val="61204966"/>
    <w:rsid w:val="61C12377"/>
    <w:rsid w:val="61CF1286"/>
    <w:rsid w:val="620A5BE8"/>
    <w:rsid w:val="6297146B"/>
    <w:rsid w:val="62AE701F"/>
    <w:rsid w:val="62B07544"/>
    <w:rsid w:val="63092CDD"/>
    <w:rsid w:val="63501A48"/>
    <w:rsid w:val="63EC1DBB"/>
    <w:rsid w:val="64A261C1"/>
    <w:rsid w:val="65B958B8"/>
    <w:rsid w:val="65DB6AA5"/>
    <w:rsid w:val="65DB6F70"/>
    <w:rsid w:val="661E3257"/>
    <w:rsid w:val="66383744"/>
    <w:rsid w:val="664916BB"/>
    <w:rsid w:val="6667518D"/>
    <w:rsid w:val="66A45FF8"/>
    <w:rsid w:val="67B963F3"/>
    <w:rsid w:val="67BE2432"/>
    <w:rsid w:val="67CD70C1"/>
    <w:rsid w:val="685A2E59"/>
    <w:rsid w:val="6A5D1B30"/>
    <w:rsid w:val="6A7F6611"/>
    <w:rsid w:val="6AA83621"/>
    <w:rsid w:val="6B2B4ABB"/>
    <w:rsid w:val="6BCA0AC3"/>
    <w:rsid w:val="6BF016C9"/>
    <w:rsid w:val="6BF72930"/>
    <w:rsid w:val="6C154805"/>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E0C0B"/>
    <w:rsid w:val="716D30CB"/>
    <w:rsid w:val="718335B1"/>
    <w:rsid w:val="7185070D"/>
    <w:rsid w:val="719256A3"/>
    <w:rsid w:val="72132F1B"/>
    <w:rsid w:val="724D391D"/>
    <w:rsid w:val="72667A54"/>
    <w:rsid w:val="7277686B"/>
    <w:rsid w:val="727B7B76"/>
    <w:rsid w:val="731871FF"/>
    <w:rsid w:val="732F503F"/>
    <w:rsid w:val="73B27495"/>
    <w:rsid w:val="73D13601"/>
    <w:rsid w:val="73FB3929"/>
    <w:rsid w:val="749B0403"/>
    <w:rsid w:val="749F2B1B"/>
    <w:rsid w:val="74B2398B"/>
    <w:rsid w:val="74D014A3"/>
    <w:rsid w:val="74FE75C0"/>
    <w:rsid w:val="751226C4"/>
    <w:rsid w:val="75BC7C51"/>
    <w:rsid w:val="75F973DD"/>
    <w:rsid w:val="77042512"/>
    <w:rsid w:val="77B34C9B"/>
    <w:rsid w:val="793C6AE9"/>
    <w:rsid w:val="79404263"/>
    <w:rsid w:val="79E91CF9"/>
    <w:rsid w:val="7A651673"/>
    <w:rsid w:val="7AD97A34"/>
    <w:rsid w:val="7BEC215B"/>
    <w:rsid w:val="7C7D76F6"/>
    <w:rsid w:val="7CCE1B6A"/>
    <w:rsid w:val="7CD40FB9"/>
    <w:rsid w:val="7D267C0E"/>
    <w:rsid w:val="7DEB0BA7"/>
    <w:rsid w:val="7E013E51"/>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25</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CMCC-Luyang Zhao</cp:lastModifiedBy>
  <dcterms:modified xsi:type="dcterms:W3CDTF">2023-12-01T01:25:30Z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